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ED3" w:rsidRDefault="00614ED3" w:rsidP="00614ED3">
      <w:pPr>
        <w:rPr>
          <w:bCs/>
          <w:sz w:val="24"/>
          <w:szCs w:val="24"/>
          <w:lang w:val="sr-Latn-RS"/>
        </w:rPr>
      </w:pPr>
      <w:r>
        <w:rPr>
          <w:b/>
          <w:bCs/>
          <w:sz w:val="24"/>
          <w:szCs w:val="24"/>
          <w:lang w:val="en-US"/>
        </w:rPr>
        <w:t>Chart</w:t>
      </w:r>
      <w:r w:rsidRPr="005239AA">
        <w:rPr>
          <w:b/>
          <w:bCs/>
          <w:sz w:val="24"/>
          <w:szCs w:val="24"/>
          <w:lang w:val="sr-Cyrl-CS"/>
        </w:rPr>
        <w:t xml:space="preserve"> 5.</w:t>
      </w:r>
      <w:r>
        <w:rPr>
          <w:b/>
          <w:bCs/>
          <w:sz w:val="24"/>
          <w:szCs w:val="24"/>
          <w:lang w:val="en-US"/>
        </w:rPr>
        <w:t>1</w:t>
      </w:r>
      <w:r w:rsidRPr="005239AA">
        <w:rPr>
          <w:b/>
          <w:bCs/>
          <w:sz w:val="24"/>
          <w:szCs w:val="24"/>
          <w:lang w:val="sr-Cyrl-CS"/>
        </w:rPr>
        <w:t xml:space="preserve"> </w:t>
      </w:r>
      <w:r>
        <w:rPr>
          <w:bCs/>
          <w:sz w:val="24"/>
          <w:szCs w:val="24"/>
          <w:lang w:val="en-US"/>
        </w:rPr>
        <w:t>Course specification</w:t>
      </w:r>
      <w:r w:rsidRPr="005239AA">
        <w:rPr>
          <w:bCs/>
          <w:sz w:val="24"/>
          <w:szCs w:val="24"/>
          <w:lang w:val="sr-Cyrl-CS"/>
        </w:rPr>
        <w:t xml:space="preserve"> </w:t>
      </w:r>
    </w:p>
    <w:p w:rsidR="00614ED3" w:rsidRPr="00BD2900" w:rsidRDefault="00614ED3" w:rsidP="00614ED3">
      <w:pPr>
        <w:rPr>
          <w:bCs/>
          <w:sz w:val="24"/>
          <w:szCs w:val="24"/>
          <w:lang w:val="sr-Latn-R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5"/>
        <w:gridCol w:w="2377"/>
        <w:gridCol w:w="1080"/>
        <w:gridCol w:w="1813"/>
      </w:tblGrid>
      <w:tr w:rsidR="00614ED3" w:rsidRPr="00864210" w:rsidTr="00614ED3">
        <w:tc>
          <w:tcPr>
            <w:tcW w:w="9795" w:type="dxa"/>
            <w:gridSpan w:val="4"/>
          </w:tcPr>
          <w:p w:rsidR="00614ED3" w:rsidRPr="00614ED3" w:rsidRDefault="00614ED3" w:rsidP="00373F02">
            <w:pPr>
              <w:rPr>
                <w:sz w:val="18"/>
                <w:szCs w:val="18"/>
                <w:lang w:val="sl-SI"/>
              </w:rPr>
            </w:pPr>
            <w:r w:rsidRPr="00614ED3">
              <w:rPr>
                <w:b/>
                <w:bCs/>
                <w:sz w:val="18"/>
                <w:szCs w:val="18"/>
                <w:lang w:val="en-US"/>
              </w:rPr>
              <w:t xml:space="preserve">Title of the course: </w:t>
            </w:r>
            <w:r w:rsidRPr="00614ED3">
              <w:rPr>
                <w:b/>
                <w:bCs/>
                <w:sz w:val="18"/>
                <w:szCs w:val="18"/>
                <w:lang w:val="en-US"/>
              </w:rPr>
              <w:t>ETHICS OF ANIMAL AND HUMAN TESTING</w:t>
            </w:r>
          </w:p>
        </w:tc>
      </w:tr>
      <w:tr w:rsidR="00614ED3" w:rsidRPr="00864210" w:rsidTr="00614ED3">
        <w:tc>
          <w:tcPr>
            <w:tcW w:w="9795" w:type="dxa"/>
            <w:gridSpan w:val="4"/>
          </w:tcPr>
          <w:p w:rsidR="00614ED3" w:rsidRPr="00614ED3" w:rsidRDefault="00614ED3" w:rsidP="00373F02">
            <w:pPr>
              <w:widowControl/>
              <w:autoSpaceDE/>
              <w:autoSpaceDN/>
              <w:adjustRightInd/>
              <w:rPr>
                <w:sz w:val="18"/>
                <w:szCs w:val="18"/>
                <w:lang w:val="sr-Latn-RS"/>
              </w:rPr>
            </w:pPr>
            <w:r w:rsidRPr="00614ED3">
              <w:rPr>
                <w:b/>
                <w:bCs/>
                <w:sz w:val="18"/>
                <w:szCs w:val="18"/>
                <w:lang w:val="en-US"/>
              </w:rPr>
              <w:t>Teacher</w:t>
            </w:r>
            <w:r w:rsidRPr="00614ED3">
              <w:rPr>
                <w:b/>
                <w:bCs/>
                <w:sz w:val="18"/>
                <w:szCs w:val="18"/>
                <w:lang w:val="ru-RU"/>
              </w:rPr>
              <w:t xml:space="preserve"> (</w:t>
            </w:r>
            <w:r w:rsidRPr="00614ED3">
              <w:rPr>
                <w:b/>
                <w:bCs/>
                <w:sz w:val="18"/>
                <w:szCs w:val="18"/>
                <w:lang w:val="en-US"/>
              </w:rPr>
              <w:t>Family name, the first name</w:t>
            </w:r>
            <w:r w:rsidRPr="00614ED3">
              <w:rPr>
                <w:sz w:val="18"/>
                <w:szCs w:val="18"/>
                <w:lang w:val="ru-RU"/>
              </w:rPr>
              <w:t>)</w:t>
            </w:r>
            <w:r w:rsidRPr="00614ED3">
              <w:rPr>
                <w:b/>
                <w:bCs/>
                <w:sz w:val="18"/>
                <w:szCs w:val="18"/>
                <w:lang w:val="sr-Cyrl-CS"/>
              </w:rPr>
              <w:t>:</w:t>
            </w:r>
            <w:r w:rsidRPr="00614ED3">
              <w:rPr>
                <w:sz w:val="18"/>
                <w:szCs w:val="18"/>
              </w:rPr>
              <w:t xml:space="preserve"> </w:t>
            </w:r>
            <w:r w:rsidRPr="00614ED3">
              <w:rPr>
                <w:b/>
                <w:sz w:val="18"/>
                <w:szCs w:val="18"/>
              </w:rPr>
              <w:t>Professor Zoran M. Todorović, MD, PhD (Course coordinator)</w:t>
            </w:r>
            <w:r w:rsidRPr="00614ED3">
              <w:rPr>
                <w:sz w:val="18"/>
                <w:szCs w:val="18"/>
              </w:rPr>
              <w:t>, Professor Ivana Novaković, MD, PhD, Professor Miroslav Radenković, MD, PhD, Professor Dragan Hrnčić, MD, PhD, Professor Gordana Dragović-Lukić, MD, PhD, Professor Aleksandar Trbović, MD, PhD, Professor Dragana Protić, MD, PhD, Asisstant Professor Vida Jeremić, MD, PhD, Assistant Danijela Tiosavljević, MD, PhD, Assistant Professor Željka Stanojević, MD, PhD</w:t>
            </w:r>
          </w:p>
        </w:tc>
      </w:tr>
      <w:tr w:rsidR="00614ED3" w:rsidRPr="00864210" w:rsidTr="00614ED3">
        <w:tc>
          <w:tcPr>
            <w:tcW w:w="9795" w:type="dxa"/>
            <w:gridSpan w:val="4"/>
          </w:tcPr>
          <w:p w:rsidR="00614ED3" w:rsidRPr="00614ED3" w:rsidRDefault="00614ED3" w:rsidP="00614ED3">
            <w:pPr>
              <w:rPr>
                <w:sz w:val="18"/>
                <w:szCs w:val="18"/>
                <w:lang w:val="ru-RU"/>
              </w:rPr>
            </w:pPr>
            <w:r w:rsidRPr="00614ED3">
              <w:rPr>
                <w:bCs/>
                <w:sz w:val="18"/>
                <w:szCs w:val="18"/>
                <w:lang w:val="en-US"/>
              </w:rPr>
              <w:t>Status of the course</w:t>
            </w:r>
            <w:r w:rsidRPr="00614ED3">
              <w:rPr>
                <w:bCs/>
                <w:sz w:val="18"/>
                <w:szCs w:val="18"/>
                <w:lang w:val="sr-Cyrl-CS"/>
              </w:rPr>
              <w:t>:</w:t>
            </w:r>
            <w:r w:rsidRPr="00614ED3">
              <w:rPr>
                <w:sz w:val="18"/>
                <w:szCs w:val="18"/>
              </w:rPr>
              <w:t xml:space="preserve"> Elective</w:t>
            </w:r>
          </w:p>
        </w:tc>
      </w:tr>
      <w:tr w:rsidR="00614ED3" w:rsidRPr="00864210" w:rsidTr="00614ED3">
        <w:tc>
          <w:tcPr>
            <w:tcW w:w="9795" w:type="dxa"/>
            <w:gridSpan w:val="4"/>
          </w:tcPr>
          <w:p w:rsidR="00614ED3" w:rsidRPr="00614ED3" w:rsidRDefault="00614ED3" w:rsidP="00373F02">
            <w:pPr>
              <w:rPr>
                <w:sz w:val="18"/>
                <w:szCs w:val="18"/>
                <w:lang w:val="en-GB"/>
              </w:rPr>
            </w:pPr>
            <w:r w:rsidRPr="00614ED3">
              <w:rPr>
                <w:bCs/>
                <w:sz w:val="18"/>
                <w:szCs w:val="18"/>
                <w:lang w:val="en-US"/>
              </w:rPr>
              <w:t>Number of ECTS points</w:t>
            </w:r>
            <w:r w:rsidRPr="00614ED3">
              <w:rPr>
                <w:bCs/>
                <w:sz w:val="18"/>
                <w:szCs w:val="18"/>
              </w:rPr>
              <w:t>:</w:t>
            </w:r>
            <w:r w:rsidRPr="00614ED3">
              <w:rPr>
                <w:bCs/>
                <w:sz w:val="18"/>
                <w:szCs w:val="18"/>
                <w:lang w:val="sr-Cyrl-CS"/>
              </w:rPr>
              <w:t xml:space="preserve"> </w:t>
            </w:r>
            <w:r w:rsidRPr="00614ED3">
              <w:rPr>
                <w:bCs/>
                <w:sz w:val="18"/>
                <w:szCs w:val="18"/>
                <w:lang w:val="en-GB"/>
              </w:rPr>
              <w:t>5</w:t>
            </w:r>
          </w:p>
        </w:tc>
      </w:tr>
      <w:tr w:rsidR="00614ED3" w:rsidRPr="00864210" w:rsidTr="00614ED3">
        <w:tc>
          <w:tcPr>
            <w:tcW w:w="9795" w:type="dxa"/>
            <w:gridSpan w:val="4"/>
          </w:tcPr>
          <w:p w:rsidR="00614ED3" w:rsidRPr="00614ED3" w:rsidRDefault="00614ED3" w:rsidP="00373F02">
            <w:pPr>
              <w:rPr>
                <w:bCs/>
                <w:sz w:val="18"/>
                <w:szCs w:val="18"/>
                <w:lang w:val="en-US"/>
              </w:rPr>
            </w:pPr>
            <w:r w:rsidRPr="00614ED3">
              <w:rPr>
                <w:bCs/>
                <w:sz w:val="18"/>
                <w:szCs w:val="18"/>
                <w:lang w:val="en-US"/>
              </w:rPr>
              <w:t xml:space="preserve">Course prerequisites: </w:t>
            </w:r>
            <w:r w:rsidRPr="00614ED3">
              <w:rPr>
                <w:bCs/>
                <w:sz w:val="18"/>
                <w:szCs w:val="18"/>
                <w:lang w:val="en-US"/>
              </w:rPr>
              <w:t>enrolled in the third semester of doctoral studies</w:t>
            </w:r>
            <w:bookmarkStart w:id="0" w:name="_GoBack"/>
            <w:bookmarkEnd w:id="0"/>
          </w:p>
        </w:tc>
      </w:tr>
      <w:tr w:rsidR="00614ED3" w:rsidRPr="00864210" w:rsidTr="00614ED3">
        <w:tc>
          <w:tcPr>
            <w:tcW w:w="9795" w:type="dxa"/>
            <w:gridSpan w:val="4"/>
          </w:tcPr>
          <w:p w:rsidR="00614ED3" w:rsidRPr="00614ED3" w:rsidRDefault="00614ED3" w:rsidP="00373F02">
            <w:pPr>
              <w:widowControl/>
              <w:autoSpaceDE/>
              <w:autoSpaceDN/>
              <w:adjustRightInd/>
              <w:rPr>
                <w:b/>
                <w:bCs/>
                <w:sz w:val="18"/>
                <w:szCs w:val="18"/>
                <w:lang w:val="sr-Cyrl-CS"/>
              </w:rPr>
            </w:pPr>
            <w:r w:rsidRPr="00614ED3">
              <w:rPr>
                <w:b/>
                <w:bCs/>
                <w:sz w:val="18"/>
                <w:szCs w:val="18"/>
                <w:lang w:val="en-US"/>
              </w:rPr>
              <w:t>Objectives of the course</w:t>
            </w:r>
            <w:r w:rsidRPr="00614ED3">
              <w:rPr>
                <w:b/>
                <w:bCs/>
                <w:sz w:val="18"/>
                <w:szCs w:val="18"/>
                <w:lang w:val="sr-Cyrl-CS"/>
              </w:rPr>
              <w:t xml:space="preserve"> </w:t>
            </w:r>
          </w:p>
          <w:p w:rsidR="00614ED3" w:rsidRPr="00614ED3" w:rsidRDefault="00614ED3" w:rsidP="00373F02">
            <w:pPr>
              <w:widowControl/>
              <w:autoSpaceDE/>
              <w:autoSpaceDN/>
              <w:adjustRightInd/>
              <w:jc w:val="both"/>
              <w:rPr>
                <w:bCs/>
                <w:sz w:val="18"/>
                <w:szCs w:val="18"/>
                <w:lang w:val="sr-Cyrl-CS"/>
              </w:rPr>
            </w:pPr>
            <w:r w:rsidRPr="00614ED3">
              <w:rPr>
                <w:bCs/>
                <w:sz w:val="18"/>
                <w:szCs w:val="18"/>
                <w:lang w:val="sr-Cyrl-CS"/>
              </w:rPr>
              <w:t>Introduction to the principles of medical ethics and bioethics. Understanding and analysis of bioethical aspects of drug testing in animals and humans. Understanding and analysis of ethical issues in drug testing in vulnerable groups. Understanding and analysis of bioethical aspects of modulation of central nervous system function under the influence of drugs and psychoactive substances. Understanding and analysis of bioethical issues in scientific research in biomedicine. Bioethics and legislation.</w:t>
            </w:r>
          </w:p>
        </w:tc>
      </w:tr>
      <w:tr w:rsidR="00614ED3" w:rsidRPr="00864210" w:rsidTr="00614ED3">
        <w:tc>
          <w:tcPr>
            <w:tcW w:w="9795" w:type="dxa"/>
            <w:gridSpan w:val="4"/>
          </w:tcPr>
          <w:p w:rsidR="00614ED3" w:rsidRPr="00614ED3" w:rsidRDefault="00614ED3" w:rsidP="00373F02">
            <w:pPr>
              <w:widowControl/>
              <w:autoSpaceDE/>
              <w:autoSpaceDN/>
              <w:adjustRightInd/>
              <w:spacing w:before="60"/>
              <w:rPr>
                <w:b/>
                <w:bCs/>
                <w:sz w:val="18"/>
                <w:szCs w:val="18"/>
                <w:lang w:val="sr-Cyrl-CS"/>
              </w:rPr>
            </w:pPr>
            <w:r w:rsidRPr="00614ED3">
              <w:rPr>
                <w:b/>
                <w:bCs/>
                <w:sz w:val="18"/>
                <w:szCs w:val="18"/>
                <w:lang w:val="en-US"/>
              </w:rPr>
              <w:t>Outcomes of the course</w:t>
            </w:r>
            <w:r w:rsidRPr="00614ED3">
              <w:rPr>
                <w:b/>
                <w:bCs/>
                <w:sz w:val="18"/>
                <w:szCs w:val="18"/>
                <w:lang w:val="sr-Cyrl-CS"/>
              </w:rPr>
              <w:t xml:space="preserve"> </w:t>
            </w:r>
          </w:p>
          <w:p w:rsidR="00614ED3" w:rsidRPr="00614ED3" w:rsidRDefault="00614ED3" w:rsidP="00373F02">
            <w:pPr>
              <w:widowControl/>
              <w:autoSpaceDE/>
              <w:autoSpaceDN/>
              <w:adjustRightInd/>
              <w:spacing w:before="60"/>
              <w:rPr>
                <w:bCs/>
                <w:color w:val="000000"/>
                <w:sz w:val="18"/>
                <w:szCs w:val="18"/>
              </w:rPr>
            </w:pPr>
            <w:r w:rsidRPr="00614ED3">
              <w:rPr>
                <w:sz w:val="18"/>
                <w:szCs w:val="18"/>
              </w:rPr>
              <w:t>Knowledge of the principles of integrative bioethics and its role in the development of modern medical pharmacology. Development of the ability to assess and analyze the most important ethical aspects and issues in the testing, discovery and development of drugs, as well as in scientific research in biomedicine.</w:t>
            </w:r>
          </w:p>
        </w:tc>
      </w:tr>
      <w:tr w:rsidR="00614ED3" w:rsidRPr="00864210" w:rsidTr="00614ED3">
        <w:tc>
          <w:tcPr>
            <w:tcW w:w="9795" w:type="dxa"/>
            <w:gridSpan w:val="4"/>
          </w:tcPr>
          <w:p w:rsidR="00614ED3" w:rsidRPr="00614ED3" w:rsidRDefault="00614ED3" w:rsidP="00373F02">
            <w:pPr>
              <w:rPr>
                <w:b/>
                <w:bCs/>
                <w:sz w:val="18"/>
                <w:szCs w:val="18"/>
                <w:lang w:val="en-US"/>
              </w:rPr>
            </w:pPr>
            <w:r w:rsidRPr="00614ED3">
              <w:rPr>
                <w:b/>
                <w:bCs/>
                <w:sz w:val="18"/>
                <w:szCs w:val="18"/>
                <w:lang w:val="en-US"/>
              </w:rPr>
              <w:t>Content of the course</w:t>
            </w:r>
          </w:p>
          <w:p w:rsidR="00614ED3" w:rsidRPr="00614ED3" w:rsidRDefault="00614ED3" w:rsidP="00373F02">
            <w:pPr>
              <w:rPr>
                <w:sz w:val="18"/>
                <w:szCs w:val="18"/>
                <w:lang w:val="en-US"/>
              </w:rPr>
            </w:pPr>
            <w:r w:rsidRPr="00614ED3">
              <w:rPr>
                <w:sz w:val="18"/>
                <w:szCs w:val="18"/>
                <w:lang w:val="en-US"/>
              </w:rPr>
              <w:t>Medical ethics, bioethics-basic definitions, problems and challenges. Physician-patient relationship in the paradigm of integrative bioethics. Bioethical dilemmas in scientific research in biomedicine. Bioethics and pharmacology. Bioethics in working with experimental animals. Bioethics in clinical trials of drugs. Bioethical aspects of drug testing in neuropharmacology. Bioethical dilemmas in drug testing and therapy of vulnerable groups. Ethical approach in the use of experimental models in virology. Ethical principles of gene therapy application. Genetically modified organisms and bioethics. Bioethical issues in forensic medicine: errors in the use of drugs; euthanasia.</w:t>
            </w:r>
          </w:p>
        </w:tc>
      </w:tr>
      <w:tr w:rsidR="00614ED3" w:rsidRPr="00864210" w:rsidTr="00614ED3">
        <w:tc>
          <w:tcPr>
            <w:tcW w:w="9795" w:type="dxa"/>
            <w:gridSpan w:val="4"/>
          </w:tcPr>
          <w:p w:rsidR="00614ED3" w:rsidRPr="00614ED3" w:rsidRDefault="00614ED3" w:rsidP="00373F02">
            <w:pPr>
              <w:rPr>
                <w:b/>
                <w:bCs/>
                <w:sz w:val="18"/>
                <w:szCs w:val="18"/>
                <w:lang w:val="en-US"/>
              </w:rPr>
            </w:pPr>
            <w:r w:rsidRPr="00614ED3">
              <w:rPr>
                <w:b/>
                <w:bCs/>
                <w:sz w:val="18"/>
                <w:szCs w:val="18"/>
                <w:lang w:val="en-US"/>
              </w:rPr>
              <w:t>References (Literature) – recommended readings:</w:t>
            </w:r>
          </w:p>
          <w:p w:rsidR="00614ED3" w:rsidRPr="00614ED3" w:rsidRDefault="00614ED3" w:rsidP="00614ED3">
            <w:pPr>
              <w:rPr>
                <w:bCs/>
                <w:sz w:val="18"/>
                <w:szCs w:val="18"/>
              </w:rPr>
            </w:pPr>
            <w:r w:rsidRPr="00614ED3">
              <w:rPr>
                <w:bCs/>
                <w:sz w:val="18"/>
                <w:szCs w:val="18"/>
              </w:rPr>
              <w:t xml:space="preserve">1) Вучинић M, Тодоровић З (ур.). </w:t>
            </w:r>
            <w:r w:rsidRPr="00614ED3">
              <w:rPr>
                <w:bCs/>
                <w:sz w:val="18"/>
                <w:szCs w:val="18"/>
              </w:rPr>
              <w:t>Experimental animals and experimental models</w:t>
            </w:r>
            <w:r w:rsidRPr="00614ED3">
              <w:rPr>
                <w:bCs/>
                <w:sz w:val="18"/>
                <w:szCs w:val="18"/>
              </w:rPr>
              <w:t>.  Београд: Ветеринарска комора Србије, 2010.</w:t>
            </w:r>
          </w:p>
          <w:p w:rsidR="00614ED3" w:rsidRPr="00614ED3" w:rsidRDefault="00614ED3" w:rsidP="00614ED3">
            <w:pPr>
              <w:rPr>
                <w:bCs/>
                <w:sz w:val="18"/>
                <w:szCs w:val="18"/>
              </w:rPr>
            </w:pPr>
            <w:r w:rsidRPr="00614ED3">
              <w:rPr>
                <w:bCs/>
                <w:sz w:val="18"/>
                <w:szCs w:val="18"/>
              </w:rPr>
              <w:t>2) Тodorović Z, Prostran M, Turza K (eds). Bioethics and Pharmacology: Ethics in Preclinical and Clinical Drug Development. Kerala, India: Transworld Research Network 2012 (ISBN: 978-81-7895-579-7).</w:t>
            </w:r>
          </w:p>
          <w:p w:rsidR="00614ED3" w:rsidRPr="00614ED3" w:rsidRDefault="00614ED3" w:rsidP="00614ED3">
            <w:pPr>
              <w:rPr>
                <w:bCs/>
                <w:sz w:val="18"/>
                <w:szCs w:val="18"/>
              </w:rPr>
            </w:pPr>
            <w:r w:rsidRPr="00614ED3">
              <w:rPr>
                <w:bCs/>
                <w:sz w:val="18"/>
                <w:szCs w:val="18"/>
              </w:rPr>
              <w:t>3) Integrativna bioetika i vulnerabilne grupe (radovi sa simpozijuma štampani u celini) Jahr 2013; 4(8): 711-790.</w:t>
            </w:r>
          </w:p>
          <w:p w:rsidR="00614ED3" w:rsidRPr="00614ED3" w:rsidRDefault="00614ED3" w:rsidP="00614ED3">
            <w:pPr>
              <w:rPr>
                <w:bCs/>
                <w:sz w:val="18"/>
                <w:szCs w:val="18"/>
              </w:rPr>
            </w:pPr>
            <w:r w:rsidRPr="00614ED3">
              <w:rPr>
                <w:bCs/>
                <w:sz w:val="18"/>
                <w:szCs w:val="18"/>
              </w:rPr>
              <w:t>4) Shamoo AE, Resnik DB. Responsible Conduct of Research (2nd ed). Oxford, New York: Oxford University Press, 2009.</w:t>
            </w:r>
          </w:p>
          <w:p w:rsidR="00614ED3" w:rsidRPr="00614ED3" w:rsidRDefault="00614ED3" w:rsidP="00614ED3">
            <w:pPr>
              <w:rPr>
                <w:bCs/>
                <w:sz w:val="18"/>
                <w:szCs w:val="18"/>
              </w:rPr>
            </w:pPr>
            <w:r w:rsidRPr="00614ED3">
              <w:rPr>
                <w:bCs/>
                <w:sz w:val="18"/>
                <w:szCs w:val="18"/>
              </w:rPr>
              <w:t xml:space="preserve">5) Tодоровић З, Турза К, Друловић Ј (ур.). Неуроетика. Београд: Медицински факултет Универзитета у Београду, ЦИБИД, 2017. Доступно на: </w:t>
            </w:r>
            <w:hyperlink r:id="rId4" w:history="1">
              <w:r w:rsidRPr="00614ED3">
                <w:rPr>
                  <w:rStyle w:val="Hyperlink"/>
                  <w:bCs/>
                  <w:sz w:val="18"/>
                  <w:szCs w:val="18"/>
                </w:rPr>
                <w:t>http://fliphtml5.com/bffz/ftie</w:t>
              </w:r>
            </w:hyperlink>
            <w:r w:rsidRPr="00614ED3">
              <w:rPr>
                <w:bCs/>
                <w:sz w:val="18"/>
                <w:szCs w:val="18"/>
              </w:rPr>
              <w:t>.</w:t>
            </w:r>
          </w:p>
          <w:p w:rsidR="00614ED3" w:rsidRPr="00614ED3" w:rsidRDefault="00614ED3" w:rsidP="00614ED3">
            <w:pPr>
              <w:rPr>
                <w:b/>
                <w:bCs/>
                <w:sz w:val="18"/>
                <w:szCs w:val="18"/>
                <w:lang w:val="en-US"/>
              </w:rPr>
            </w:pPr>
            <w:r w:rsidRPr="00614ED3">
              <w:rPr>
                <w:bCs/>
                <w:sz w:val="18"/>
                <w:szCs w:val="18"/>
              </w:rPr>
              <w:t xml:space="preserve">6) ”Heading Towards Humans Again: Bioethics in the New Age of Science”; Radenkovic M, Ed.; Trivent Publishing (2021) ISBN 978-615-81821-1-9. </w:t>
            </w:r>
            <w:r w:rsidRPr="00614ED3">
              <w:rPr>
                <w:bCs/>
                <w:sz w:val="18"/>
                <w:szCs w:val="18"/>
                <w:lang w:val="en-GB"/>
              </w:rPr>
              <w:t>Available on</w:t>
            </w:r>
            <w:r w:rsidRPr="00614ED3">
              <w:rPr>
                <w:bCs/>
                <w:sz w:val="18"/>
                <w:szCs w:val="18"/>
                <w:lang w:val="en-GB"/>
              </w:rPr>
              <w:t xml:space="preserve"> </w:t>
            </w:r>
            <w:hyperlink r:id="rId5" w:anchor="/28-format-paperback" w:history="1">
              <w:r w:rsidRPr="00614ED3">
                <w:rPr>
                  <w:rStyle w:val="Hyperlink"/>
                  <w:bCs/>
                  <w:sz w:val="18"/>
                  <w:szCs w:val="18"/>
                  <w:lang w:val="en-GB"/>
                </w:rPr>
                <w:t>https://trivent-publishing.eu/home/130-78-heading-towards-humans-again-aspects-of-bioethics-in-the-new-age-of-science.html#/28-format-paperback</w:t>
              </w:r>
            </w:hyperlink>
          </w:p>
        </w:tc>
      </w:tr>
      <w:tr w:rsidR="00614ED3" w:rsidRPr="00864210" w:rsidTr="00614ED3">
        <w:tc>
          <w:tcPr>
            <w:tcW w:w="4525" w:type="dxa"/>
            <w:tcBorders>
              <w:right w:val="nil"/>
            </w:tcBorders>
          </w:tcPr>
          <w:p w:rsidR="00614ED3" w:rsidRPr="00614ED3" w:rsidRDefault="00614ED3" w:rsidP="00373F02">
            <w:pPr>
              <w:rPr>
                <w:b/>
                <w:bCs/>
                <w:sz w:val="18"/>
                <w:szCs w:val="18"/>
                <w:lang w:val="en-US"/>
              </w:rPr>
            </w:pPr>
            <w:r w:rsidRPr="00614ED3">
              <w:rPr>
                <w:b/>
                <w:bCs/>
                <w:sz w:val="18"/>
                <w:szCs w:val="18"/>
                <w:lang w:val="en-US"/>
              </w:rPr>
              <w:t>Number of teaching hours under supervision</w:t>
            </w:r>
            <w:r w:rsidRPr="00614ED3">
              <w:rPr>
                <w:b/>
                <w:bCs/>
                <w:sz w:val="18"/>
                <w:szCs w:val="18"/>
                <w:lang w:val="en-US"/>
              </w:rPr>
              <w:t xml:space="preserve"> 2</w:t>
            </w:r>
          </w:p>
        </w:tc>
        <w:tc>
          <w:tcPr>
            <w:tcW w:w="2377" w:type="dxa"/>
            <w:tcBorders>
              <w:right w:val="nil"/>
            </w:tcBorders>
          </w:tcPr>
          <w:p w:rsidR="00614ED3" w:rsidRPr="00614ED3" w:rsidRDefault="00614ED3" w:rsidP="00373F02">
            <w:pPr>
              <w:rPr>
                <w:b/>
                <w:bCs/>
                <w:sz w:val="18"/>
                <w:szCs w:val="18"/>
                <w:lang w:val="en-US"/>
              </w:rPr>
            </w:pPr>
            <w:r w:rsidRPr="00614ED3">
              <w:rPr>
                <w:b/>
                <w:bCs/>
                <w:sz w:val="18"/>
                <w:szCs w:val="18"/>
                <w:lang w:val="en-US"/>
              </w:rPr>
              <w:t>Lectures:</w:t>
            </w:r>
            <w:r w:rsidRPr="00614ED3">
              <w:rPr>
                <w:b/>
                <w:bCs/>
                <w:sz w:val="18"/>
                <w:szCs w:val="18"/>
                <w:lang w:val="en-US"/>
              </w:rPr>
              <w:t xml:space="preserve"> 2</w:t>
            </w:r>
          </w:p>
        </w:tc>
        <w:tc>
          <w:tcPr>
            <w:tcW w:w="1080" w:type="dxa"/>
            <w:tcBorders>
              <w:right w:val="nil"/>
            </w:tcBorders>
          </w:tcPr>
          <w:p w:rsidR="00614ED3" w:rsidRPr="00614ED3" w:rsidRDefault="00614ED3" w:rsidP="00373F02">
            <w:pPr>
              <w:rPr>
                <w:b/>
                <w:bCs/>
                <w:sz w:val="18"/>
                <w:szCs w:val="18"/>
                <w:lang w:val="en-US"/>
              </w:rPr>
            </w:pPr>
            <w:r w:rsidRPr="00614ED3">
              <w:rPr>
                <w:b/>
                <w:bCs/>
                <w:sz w:val="18"/>
                <w:szCs w:val="18"/>
                <w:lang w:val="en-US"/>
              </w:rPr>
              <w:t>Research work:</w:t>
            </w:r>
            <w:r w:rsidRPr="00614ED3">
              <w:rPr>
                <w:b/>
                <w:bCs/>
                <w:sz w:val="18"/>
                <w:szCs w:val="18"/>
                <w:lang w:val="en-US"/>
              </w:rPr>
              <w:t xml:space="preserve"> 6</w:t>
            </w:r>
          </w:p>
        </w:tc>
        <w:tc>
          <w:tcPr>
            <w:tcW w:w="1813" w:type="dxa"/>
            <w:tcBorders>
              <w:left w:val="nil"/>
            </w:tcBorders>
          </w:tcPr>
          <w:p w:rsidR="00614ED3" w:rsidRPr="00614ED3" w:rsidRDefault="00614ED3" w:rsidP="00373F02">
            <w:pPr>
              <w:rPr>
                <w:b/>
                <w:bCs/>
                <w:sz w:val="18"/>
                <w:szCs w:val="18"/>
                <w:lang w:val="ru-RU"/>
              </w:rPr>
            </w:pPr>
          </w:p>
        </w:tc>
      </w:tr>
      <w:tr w:rsidR="00614ED3" w:rsidRPr="00864210" w:rsidTr="00614ED3">
        <w:trPr>
          <w:trHeight w:val="417"/>
        </w:trPr>
        <w:tc>
          <w:tcPr>
            <w:tcW w:w="9795" w:type="dxa"/>
            <w:gridSpan w:val="4"/>
            <w:tcBorders>
              <w:left w:val="single" w:sz="4" w:space="0" w:color="auto"/>
              <w:bottom w:val="single" w:sz="4" w:space="0" w:color="auto"/>
            </w:tcBorders>
          </w:tcPr>
          <w:p w:rsidR="00614ED3" w:rsidRPr="00614ED3" w:rsidRDefault="00614ED3" w:rsidP="00373F02">
            <w:pPr>
              <w:jc w:val="both"/>
              <w:rPr>
                <w:b/>
                <w:bCs/>
                <w:sz w:val="18"/>
                <w:szCs w:val="18"/>
                <w:lang w:val="en-US"/>
              </w:rPr>
            </w:pPr>
            <w:r w:rsidRPr="00614ED3">
              <w:rPr>
                <w:b/>
                <w:bCs/>
                <w:sz w:val="18"/>
                <w:szCs w:val="18"/>
                <w:lang w:val="en-US"/>
              </w:rPr>
              <w:t>Teaching methods</w:t>
            </w:r>
            <w:r w:rsidRPr="00614ED3">
              <w:rPr>
                <w:b/>
                <w:bCs/>
                <w:sz w:val="18"/>
                <w:szCs w:val="18"/>
                <w:lang w:val="sr-Cyrl-CS"/>
              </w:rPr>
              <w:t>.</w:t>
            </w:r>
          </w:p>
          <w:p w:rsidR="00614ED3" w:rsidRPr="00614ED3" w:rsidRDefault="00614ED3" w:rsidP="00373F02">
            <w:pPr>
              <w:jc w:val="both"/>
              <w:rPr>
                <w:bCs/>
                <w:sz w:val="18"/>
                <w:szCs w:val="18"/>
                <w:lang w:val="en-US"/>
              </w:rPr>
            </w:pPr>
            <w:r w:rsidRPr="00614ED3">
              <w:rPr>
                <w:bCs/>
                <w:sz w:val="18"/>
                <w:szCs w:val="18"/>
                <w:lang w:val="en-US"/>
              </w:rPr>
              <w:t>Contact classes, seminars</w:t>
            </w:r>
          </w:p>
        </w:tc>
      </w:tr>
      <w:tr w:rsidR="00614ED3" w:rsidRPr="00864210" w:rsidTr="00614ED3">
        <w:tc>
          <w:tcPr>
            <w:tcW w:w="9795" w:type="dxa"/>
            <w:gridSpan w:val="4"/>
          </w:tcPr>
          <w:p w:rsidR="00614ED3" w:rsidRPr="00614ED3" w:rsidRDefault="00614ED3" w:rsidP="00373F02">
            <w:pPr>
              <w:tabs>
                <w:tab w:val="left" w:pos="1905"/>
              </w:tabs>
              <w:jc w:val="center"/>
              <w:rPr>
                <w:b/>
                <w:bCs/>
                <w:sz w:val="18"/>
                <w:szCs w:val="18"/>
                <w:lang w:val="ru-RU"/>
              </w:rPr>
            </w:pPr>
            <w:r w:rsidRPr="00614ED3">
              <w:rPr>
                <w:b/>
                <w:bCs/>
                <w:sz w:val="18"/>
                <w:szCs w:val="18"/>
                <w:lang w:val="en-US"/>
              </w:rPr>
              <w:t>Assessment of students</w:t>
            </w:r>
            <w:r w:rsidRPr="00614ED3">
              <w:rPr>
                <w:b/>
                <w:bCs/>
                <w:sz w:val="18"/>
                <w:szCs w:val="18"/>
                <w:lang w:val="sr-Cyrl-CS"/>
              </w:rPr>
              <w:t xml:space="preserve"> (</w:t>
            </w:r>
            <w:r w:rsidRPr="00614ED3">
              <w:rPr>
                <w:b/>
                <w:bCs/>
                <w:sz w:val="18"/>
                <w:szCs w:val="18"/>
                <w:lang w:val="en-US"/>
              </w:rPr>
              <w:t>maximum number of points is</w:t>
            </w:r>
            <w:r w:rsidRPr="00614ED3">
              <w:rPr>
                <w:b/>
                <w:bCs/>
                <w:sz w:val="18"/>
                <w:szCs w:val="18"/>
                <w:lang w:val="sr-Cyrl-CS"/>
              </w:rPr>
              <w:t xml:space="preserve"> 100)</w:t>
            </w:r>
          </w:p>
        </w:tc>
      </w:tr>
      <w:tr w:rsidR="00614ED3" w:rsidRPr="00864210" w:rsidTr="00614ED3">
        <w:trPr>
          <w:trHeight w:val="474"/>
        </w:trPr>
        <w:tc>
          <w:tcPr>
            <w:tcW w:w="9795" w:type="dxa"/>
            <w:gridSpan w:val="4"/>
          </w:tcPr>
          <w:p w:rsidR="00614ED3" w:rsidRPr="00614ED3" w:rsidRDefault="00614ED3" w:rsidP="00373F02">
            <w:pPr>
              <w:rPr>
                <w:iCs/>
                <w:sz w:val="18"/>
                <w:szCs w:val="18"/>
                <w:lang w:val="en-US"/>
              </w:rPr>
            </w:pPr>
            <w:r w:rsidRPr="00614ED3">
              <w:rPr>
                <w:iCs/>
                <w:sz w:val="18"/>
                <w:szCs w:val="18"/>
                <w:lang w:val="en-US"/>
              </w:rPr>
              <w:t>It is formed on the basis of the sum of active participation in the preparation and conduct of seminars (30%), regular and active attendance (15%) and the final written test (55%).</w:t>
            </w:r>
          </w:p>
        </w:tc>
      </w:tr>
    </w:tbl>
    <w:p w:rsidR="00614ED3" w:rsidRPr="00864210" w:rsidRDefault="00614ED3" w:rsidP="00614ED3">
      <w:pPr>
        <w:rPr>
          <w:lang w:val="ru-RU"/>
        </w:rPr>
      </w:pPr>
    </w:p>
    <w:p w:rsidR="007015FB" w:rsidRDefault="007015FB"/>
    <w:sectPr w:rsidR="007015FB" w:rsidSect="00636CFA">
      <w:pgSz w:w="12240" w:h="15840"/>
      <w:pgMar w:top="90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ED3"/>
    <w:rsid w:val="00614ED3"/>
    <w:rsid w:val="007015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3668A-63E8-4745-B850-87B015B8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ED3"/>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4E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83077">
      <w:bodyDiv w:val="1"/>
      <w:marLeft w:val="0"/>
      <w:marRight w:val="0"/>
      <w:marTop w:val="0"/>
      <w:marBottom w:val="0"/>
      <w:divBdr>
        <w:top w:val="none" w:sz="0" w:space="0" w:color="auto"/>
        <w:left w:val="none" w:sz="0" w:space="0" w:color="auto"/>
        <w:bottom w:val="none" w:sz="0" w:space="0" w:color="auto"/>
        <w:right w:val="none" w:sz="0" w:space="0" w:color="auto"/>
      </w:divBdr>
    </w:div>
    <w:div w:id="571938123">
      <w:bodyDiv w:val="1"/>
      <w:marLeft w:val="0"/>
      <w:marRight w:val="0"/>
      <w:marTop w:val="0"/>
      <w:marBottom w:val="0"/>
      <w:divBdr>
        <w:top w:val="none" w:sz="0" w:space="0" w:color="auto"/>
        <w:left w:val="none" w:sz="0" w:space="0" w:color="auto"/>
        <w:bottom w:val="none" w:sz="0" w:space="0" w:color="auto"/>
        <w:right w:val="none" w:sz="0" w:space="0" w:color="auto"/>
      </w:divBdr>
    </w:div>
    <w:div w:id="714475445">
      <w:bodyDiv w:val="1"/>
      <w:marLeft w:val="0"/>
      <w:marRight w:val="0"/>
      <w:marTop w:val="0"/>
      <w:marBottom w:val="0"/>
      <w:divBdr>
        <w:top w:val="none" w:sz="0" w:space="0" w:color="auto"/>
        <w:left w:val="none" w:sz="0" w:space="0" w:color="auto"/>
        <w:bottom w:val="none" w:sz="0" w:space="0" w:color="auto"/>
        <w:right w:val="none" w:sz="0" w:space="0" w:color="auto"/>
      </w:divBdr>
    </w:div>
    <w:div w:id="1216891963">
      <w:bodyDiv w:val="1"/>
      <w:marLeft w:val="0"/>
      <w:marRight w:val="0"/>
      <w:marTop w:val="0"/>
      <w:marBottom w:val="0"/>
      <w:divBdr>
        <w:top w:val="none" w:sz="0" w:space="0" w:color="auto"/>
        <w:left w:val="none" w:sz="0" w:space="0" w:color="auto"/>
        <w:bottom w:val="none" w:sz="0" w:space="0" w:color="auto"/>
        <w:right w:val="none" w:sz="0" w:space="0" w:color="auto"/>
      </w:divBdr>
    </w:div>
    <w:div w:id="1235822583">
      <w:bodyDiv w:val="1"/>
      <w:marLeft w:val="0"/>
      <w:marRight w:val="0"/>
      <w:marTop w:val="0"/>
      <w:marBottom w:val="0"/>
      <w:divBdr>
        <w:top w:val="none" w:sz="0" w:space="0" w:color="auto"/>
        <w:left w:val="none" w:sz="0" w:space="0" w:color="auto"/>
        <w:bottom w:val="none" w:sz="0" w:space="0" w:color="auto"/>
        <w:right w:val="none" w:sz="0" w:space="0" w:color="auto"/>
      </w:divBdr>
    </w:div>
    <w:div w:id="182855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rivent-publishing.eu/home/130-78-heading-towards-humans-again-aspects-of-bioethics-in-the-new-age-of-science.html" TargetMode="External"/><Relationship Id="rId4" Type="http://schemas.openxmlformats.org/officeDocument/2006/relationships/hyperlink" Target="http://fliphtml5.com/bffz/f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581</Words>
  <Characters>3317</Characters>
  <Application>Microsoft Office Word</Application>
  <DocSecurity>0</DocSecurity>
  <Lines>27</Lines>
  <Paragraphs>7</Paragraphs>
  <ScaleCrop>false</ScaleCrop>
  <Company>Hewlett-Packard Company</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1</cp:revision>
  <dcterms:created xsi:type="dcterms:W3CDTF">2021-11-19T08:29:00Z</dcterms:created>
  <dcterms:modified xsi:type="dcterms:W3CDTF">2021-11-19T08:42:00Z</dcterms:modified>
</cp:coreProperties>
</file>